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A242C" w14:textId="77777777" w:rsidR="00314F73" w:rsidRDefault="009462BD">
      <w:pPr>
        <w:spacing w:before="120" w:after="100"/>
        <w:ind w:left="-624" w:right="397"/>
        <w:rPr>
          <w:rFonts w:ascii="Segoe Print" w:eastAsia="Segoe Print" w:hAnsi="Segoe Print" w:cs="Segoe Print"/>
          <w:color w:val="A6A6A6"/>
          <w:sz w:val="40"/>
        </w:rPr>
      </w:pPr>
      <w:r>
        <w:rPr>
          <w:rFonts w:ascii="Gautami" w:eastAsia="Gautami" w:hAnsi="Gautami" w:cs="Gautami"/>
          <w:color w:val="92D050"/>
          <w:sz w:val="40"/>
        </w:rPr>
        <w:t>HUB</w:t>
      </w:r>
      <w:r>
        <w:rPr>
          <w:rFonts w:ascii="Gautami" w:eastAsia="Gautami" w:hAnsi="Gautami" w:cs="Gautami"/>
          <w:sz w:val="40"/>
        </w:rPr>
        <w:t xml:space="preserve"> </w:t>
      </w:r>
      <w:r>
        <w:rPr>
          <w:rFonts w:ascii="Gautami" w:eastAsia="Gautami" w:hAnsi="Gautami" w:cs="Gautami"/>
          <w:color w:val="A6A6A6"/>
          <w:sz w:val="40"/>
        </w:rPr>
        <w:t xml:space="preserve">VIAGGI </w:t>
      </w:r>
      <w:r>
        <w:rPr>
          <w:rFonts w:ascii="Segoe Print" w:eastAsia="Segoe Print" w:hAnsi="Segoe Print" w:cs="Segoe Print"/>
          <w:color w:val="A6A6A6"/>
          <w:sz w:val="40"/>
        </w:rPr>
        <w:t>di Marco Godeas</w:t>
      </w:r>
    </w:p>
    <w:p w14:paraId="2FDAA06D" w14:textId="77777777" w:rsidR="00314F73" w:rsidRDefault="009462BD">
      <w:pPr>
        <w:spacing w:before="120" w:after="100"/>
        <w:ind w:left="-624" w:right="397"/>
        <w:rPr>
          <w:rFonts w:ascii="Calibri" w:eastAsia="Calibri" w:hAnsi="Calibri" w:cs="Calibri"/>
          <w:color w:val="A6A6A6"/>
          <w:sz w:val="144"/>
        </w:rPr>
      </w:pPr>
      <w:r>
        <w:rPr>
          <w:rFonts w:ascii="Calibri" w:eastAsia="Calibri" w:hAnsi="Calibri" w:cs="Calibri"/>
          <w:color w:val="A6A6A6"/>
          <w:sz w:val="96"/>
        </w:rPr>
        <w:t xml:space="preserve">  </w:t>
      </w:r>
      <w:r>
        <w:rPr>
          <w:rFonts w:ascii="Calibri" w:eastAsia="Calibri" w:hAnsi="Calibri" w:cs="Calibri"/>
          <w:color w:val="A6A6A6"/>
          <w:sz w:val="144"/>
        </w:rPr>
        <w:t>Ravenna</w:t>
      </w:r>
    </w:p>
    <w:p w14:paraId="20463DBB" w14:textId="1D682CAD" w:rsidR="00314F73" w:rsidRDefault="009462BD" w:rsidP="00076ADA">
      <w:pPr>
        <w:jc w:val="center"/>
        <w:rPr>
          <w:rFonts w:ascii="Calibri Light" w:eastAsia="Calibri Light" w:hAnsi="Calibri Light" w:cs="Calibri Light"/>
          <w:b/>
          <w:color w:val="A5A5A5"/>
          <w:sz w:val="56"/>
          <w:shd w:val="clear" w:color="auto" w:fill="FFFFFF"/>
        </w:rPr>
      </w:pPr>
      <w:r>
        <w:rPr>
          <w:rFonts w:ascii="Calibri" w:eastAsia="Calibri" w:hAnsi="Calibri" w:cs="Calibri"/>
          <w:color w:val="A6A6A6"/>
          <w:sz w:val="96"/>
        </w:rPr>
        <w:t xml:space="preserve">               </w:t>
      </w:r>
      <w:r>
        <w:rPr>
          <w:rFonts w:ascii="Calibri Light" w:eastAsia="Calibri Light" w:hAnsi="Calibri Light" w:cs="Calibri Light"/>
          <w:b/>
          <w:color w:val="A5A5A5"/>
          <w:sz w:val="56"/>
          <w:shd w:val="clear" w:color="auto" w:fill="FFFFFF"/>
        </w:rPr>
        <w:t>...sulle orme di Dante</w:t>
      </w:r>
    </w:p>
    <w:p w14:paraId="4086B87F" w14:textId="77777777" w:rsidR="00076ADA" w:rsidRDefault="00076ADA" w:rsidP="00076ADA">
      <w:pPr>
        <w:jc w:val="center"/>
        <w:rPr>
          <w:rFonts w:ascii="Calibri Light" w:eastAsia="Calibri Light" w:hAnsi="Calibri Light" w:cs="Calibri Light"/>
          <w:b/>
          <w:color w:val="A5A5A5"/>
          <w:sz w:val="56"/>
          <w:shd w:val="clear" w:color="auto" w:fill="FFFFFF"/>
        </w:rPr>
      </w:pPr>
    </w:p>
    <w:p w14:paraId="3A7E1CF4" w14:textId="4840B773" w:rsidR="00314F73" w:rsidRPr="00076ADA" w:rsidRDefault="009462BD" w:rsidP="00076ADA">
      <w:pPr>
        <w:jc w:val="center"/>
        <w:rPr>
          <w:rFonts w:ascii="MV Boli" w:eastAsia="MV Boli" w:hAnsi="MV Boli" w:cs="MV Boli"/>
          <w:b/>
          <w:color w:val="A6A6A6"/>
          <w:sz w:val="36"/>
        </w:rPr>
      </w:pPr>
      <w:r>
        <w:rPr>
          <w:rFonts w:ascii="MV Boli" w:eastAsia="MV Boli" w:hAnsi="MV Boli" w:cs="MV Boli"/>
          <w:b/>
          <w:color w:val="A6A6A6"/>
          <w:sz w:val="36"/>
        </w:rPr>
        <w:t>26 agosto 2021</w:t>
      </w:r>
    </w:p>
    <w:p w14:paraId="13299522" w14:textId="6F68AAAA" w:rsidR="00314F73" w:rsidRDefault="00076ADA">
      <w:pPr>
        <w:spacing w:before="120" w:after="100" w:line="240" w:lineRule="auto"/>
        <w:ind w:left="-624" w:right="397"/>
        <w:rPr>
          <w:rFonts w:ascii="Calibri Light" w:eastAsia="Calibri Light" w:hAnsi="Calibri Light" w:cs="Calibri Light"/>
          <w:b/>
          <w:sz w:val="56"/>
          <w:shd w:val="clear" w:color="auto" w:fill="FFFFFF"/>
        </w:rPr>
      </w:pPr>
      <w:r>
        <w:t xml:space="preserve">                       </w:t>
      </w:r>
      <w:r w:rsidR="00A15824">
        <w:rPr>
          <w:noProof/>
        </w:rPr>
        <w:object w:dxaOrig="8640" w:dyaOrig="4320" w14:anchorId="1987B835">
          <v:rect id="rectole0000000000" o:spid="_x0000_i1025" alt="" style="width:365.15pt;height:174.85pt;mso-width-percent:0;mso-height-percent:0;mso-width-percent:0;mso-height-percent:0" o:ole="" o:preferrelative="t" stroked="f">
            <v:imagedata r:id="rId5" o:title=""/>
          </v:rect>
          <o:OLEObject Type="Embed" ProgID="StaticDib" ShapeID="rectole0000000000" DrawAspect="Content" ObjectID="_1689065229" r:id="rId6"/>
        </w:object>
      </w:r>
    </w:p>
    <w:p w14:paraId="3D4B00AF" w14:textId="77777777" w:rsidR="00314F73" w:rsidRDefault="009462BD">
      <w:pPr>
        <w:spacing w:before="120" w:after="100"/>
        <w:ind w:left="-624" w:right="397"/>
        <w:jc w:val="center"/>
        <w:rPr>
          <w:rFonts w:ascii="Gabriola" w:eastAsia="Gabriola" w:hAnsi="Gabriola" w:cs="Gabriola"/>
          <w:i/>
          <w:color w:val="A6A6A6"/>
          <w:sz w:val="32"/>
          <w:shd w:val="clear" w:color="auto" w:fill="FFFFFF"/>
        </w:rPr>
      </w:pPr>
      <w:r>
        <w:rPr>
          <w:rFonts w:ascii="Gabriola" w:eastAsia="Gabriola" w:hAnsi="Gabriola" w:cs="Gabriola"/>
          <w:i/>
          <w:color w:val="A6A6A6"/>
          <w:sz w:val="32"/>
          <w:shd w:val="clear" w:color="auto" w:fill="FFFFFF"/>
        </w:rPr>
        <w:t xml:space="preserve">Il 2021, </w:t>
      </w:r>
      <w:proofErr w:type="spellStart"/>
      <w:r>
        <w:rPr>
          <w:rFonts w:ascii="Gabriola" w:eastAsia="Gabriola" w:hAnsi="Gabriola" w:cs="Gabriola"/>
          <w:i/>
          <w:color w:val="A6A6A6"/>
          <w:sz w:val="32"/>
          <w:shd w:val="clear" w:color="auto" w:fill="FFFFFF"/>
        </w:rPr>
        <w:t>e'</w:t>
      </w:r>
      <w:proofErr w:type="spellEnd"/>
      <w:r>
        <w:rPr>
          <w:rFonts w:ascii="Gabriola" w:eastAsia="Gabriola" w:hAnsi="Gabriola" w:cs="Gabriola"/>
          <w:i/>
          <w:color w:val="A6A6A6"/>
          <w:sz w:val="32"/>
          <w:shd w:val="clear" w:color="auto" w:fill="FFFFFF"/>
        </w:rPr>
        <w:t xml:space="preserve"> un anno importantissimo in quanto si celebreranno i 700 anni dalla morte di Dante Alighieri, le cui spoglie mortali riposano </w:t>
      </w:r>
      <w:proofErr w:type="gramStart"/>
      <w:r>
        <w:rPr>
          <w:rFonts w:ascii="Gabriola" w:eastAsia="Gabriola" w:hAnsi="Gabriola" w:cs="Gabriola"/>
          <w:i/>
          <w:color w:val="A6A6A6"/>
          <w:sz w:val="32"/>
          <w:shd w:val="clear" w:color="auto" w:fill="FFFFFF"/>
        </w:rPr>
        <w:t>nella  bella</w:t>
      </w:r>
      <w:proofErr w:type="gramEnd"/>
      <w:r>
        <w:rPr>
          <w:rFonts w:ascii="Gabriola" w:eastAsia="Gabriola" w:hAnsi="Gabriola" w:cs="Gabriola"/>
          <w:i/>
          <w:color w:val="A6A6A6"/>
          <w:sz w:val="32"/>
          <w:shd w:val="clear" w:color="auto" w:fill="FFFFFF"/>
        </w:rPr>
        <w:t xml:space="preserve"> città, da lui scelta come ultimo rifugio. A Ravenna infatti il Sommo Poeta ha passato, con i suoi figli, gli ultimi ma significativi anni della propria vita, e ha concluso l’opera più studiata e celebrata della letteratura italiana: la Divina Commedia. Pensate che nel periodo storico in cui Dante Alighieri soggiornò a Ravenna, la città contava circa 200 chiese e 10 mila abitanti entro le mura! Molti dei monumenti visibili a Dante sono oggi in parte o totalmente distrutti, ma per fortuna sono anche numerosi e significativi i luoghi giunti fino a noi e questi ci permettono davvero di seguire le orme di Dante.</w:t>
      </w:r>
    </w:p>
    <w:p w14:paraId="0166106C" w14:textId="77777777" w:rsidR="00314F73" w:rsidRDefault="00314F73">
      <w:pPr>
        <w:rPr>
          <w:rFonts w:ascii="Gautami" w:eastAsia="Gautami" w:hAnsi="Gautami" w:cs="Gautami"/>
          <w:b/>
        </w:rPr>
      </w:pPr>
    </w:p>
    <w:p w14:paraId="4390A05A" w14:textId="77777777" w:rsidR="00314F73" w:rsidRDefault="009462BD">
      <w:pPr>
        <w:rPr>
          <w:rFonts w:ascii="Gautami" w:eastAsia="Gautami" w:hAnsi="Gautami" w:cs="Gautami"/>
          <w:b/>
        </w:rPr>
      </w:pPr>
      <w:r>
        <w:rPr>
          <w:rFonts w:ascii="Gautami" w:eastAsia="Gautami" w:hAnsi="Gautami" w:cs="Gautami"/>
          <w:b/>
        </w:rPr>
        <w:t>Programma di viaggio:</w:t>
      </w:r>
    </w:p>
    <w:p w14:paraId="1E64817A" w14:textId="77777777" w:rsidR="00314F73" w:rsidRDefault="009462BD">
      <w:pPr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 xml:space="preserve">Partenza in pullman GT alle ore 06,00 da Staranzano alla volta di Ravenna. </w:t>
      </w:r>
    </w:p>
    <w:p w14:paraId="10C7F007" w14:textId="3FBB48D8" w:rsidR="00314F73" w:rsidRDefault="009462BD">
      <w:pPr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 xml:space="preserve">Arrivo in </w:t>
      </w:r>
      <w:proofErr w:type="spellStart"/>
      <w:r>
        <w:rPr>
          <w:rFonts w:ascii="Gautami" w:eastAsia="Gautami" w:hAnsi="Gautami" w:cs="Gautami"/>
        </w:rPr>
        <w:t>citta'</w:t>
      </w:r>
      <w:proofErr w:type="spellEnd"/>
      <w:r>
        <w:rPr>
          <w:rFonts w:ascii="Gautami" w:eastAsia="Gautami" w:hAnsi="Gautami" w:cs="Gautami"/>
        </w:rPr>
        <w:t xml:space="preserve"> ed incontro con la guida alle ore 10.30 Piazzale A. Moro per l'</w:t>
      </w:r>
      <w:proofErr w:type="spellStart"/>
      <w:r>
        <w:rPr>
          <w:rFonts w:ascii="Gautami" w:eastAsia="Gautami" w:hAnsi="Gautami" w:cs="Gautami"/>
        </w:rPr>
        <w:t>inzio</w:t>
      </w:r>
      <w:proofErr w:type="spellEnd"/>
      <w:r>
        <w:rPr>
          <w:rFonts w:ascii="Gautami" w:eastAsia="Gautami" w:hAnsi="Gautami" w:cs="Gautami"/>
        </w:rPr>
        <w:t xml:space="preserve"> del giro della città a piedi con focus Dante.</w:t>
      </w:r>
    </w:p>
    <w:p w14:paraId="614FF3B0" w14:textId="06247EDF" w:rsidR="00314F73" w:rsidRDefault="009462BD">
      <w:pPr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Per onorare la memoria di Dante si visiteranno le basiliche legate alla famiglia Da Polenta, che ospitò l’illustre Poeta. La basilica di San Giovanni Evangelista con i mosaici pavimentali del XIII secolo che narrano episodi della quarta crociata e ci mostrano un ricco bestiario medievale; la zona dantesca, uno degli angoli più suggestivi di Ravenna, che comprende la Tomba del Sommo Poeta, i chiostri francescani e la basilica di San Francesco con la cripta allagata. Continuazione visita guidata nel pomeriggio</w:t>
      </w:r>
    </w:p>
    <w:p w14:paraId="53449B27" w14:textId="77777777" w:rsidR="00314F73" w:rsidRDefault="009462BD">
      <w:pPr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Ore 13:00 pranzo presso il ristorante riservato.</w:t>
      </w:r>
    </w:p>
    <w:p w14:paraId="0A00F672" w14:textId="280C5838" w:rsidR="00314F73" w:rsidRDefault="009462BD">
      <w:pPr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 xml:space="preserve">Al termine del pranzo proseguimento della visita guidata con focus mosaici. La visita, della durata di circa 2,30/3 ore si </w:t>
      </w:r>
      <w:proofErr w:type="spellStart"/>
      <w:r>
        <w:rPr>
          <w:rFonts w:ascii="Gautami" w:eastAsia="Gautami" w:hAnsi="Gautami" w:cs="Gautami"/>
        </w:rPr>
        <w:t>svolgera'</w:t>
      </w:r>
      <w:proofErr w:type="spellEnd"/>
      <w:r>
        <w:rPr>
          <w:rFonts w:ascii="Gautami" w:eastAsia="Gautami" w:hAnsi="Gautami" w:cs="Gautami"/>
        </w:rPr>
        <w:t xml:space="preserve"> tutta a piedi nel centro storico pedonale e comprende la Chiesa di S. Vitale con i celeberrimi mosaici raffiguranti l’</w:t>
      </w:r>
      <w:proofErr w:type="spellStart"/>
      <w:r>
        <w:rPr>
          <w:rFonts w:ascii="Gautami" w:eastAsia="Gautami" w:hAnsi="Gautami" w:cs="Gautami"/>
        </w:rPr>
        <w:t>mperatore</w:t>
      </w:r>
      <w:proofErr w:type="spellEnd"/>
      <w:r>
        <w:rPr>
          <w:rFonts w:ascii="Gautami" w:eastAsia="Gautami" w:hAnsi="Gautami" w:cs="Gautami"/>
        </w:rPr>
        <w:t xml:space="preserve"> bizantino Giustiniano al quale Dante dedica il VI canto del Paradiso, e la moglie Teodora, lo splendido Mausoleo di Galla Placidia. Visita del Battistero </w:t>
      </w:r>
      <w:proofErr w:type="spellStart"/>
      <w:r>
        <w:rPr>
          <w:rFonts w:ascii="Gautami" w:eastAsia="Gautami" w:hAnsi="Gautami" w:cs="Gautami"/>
        </w:rPr>
        <w:t>Neoniano</w:t>
      </w:r>
      <w:proofErr w:type="spellEnd"/>
      <w:r>
        <w:rPr>
          <w:rFonts w:ascii="Gautami" w:eastAsia="Gautami" w:hAnsi="Gautami" w:cs="Gautami"/>
        </w:rPr>
        <w:t xml:space="preserve"> e della bellissima Basilica di S. Apollinare Nuovo, chiesa palatina di Teodorico, Re degli Ostrogoti.</w:t>
      </w:r>
    </w:p>
    <w:p w14:paraId="61FB2DA2" w14:textId="64727AEB" w:rsidR="00314F73" w:rsidRDefault="009462BD">
      <w:pPr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Al termine della visita, verso le ore 18:00 circa, partenza da Ravenna e rientro a Staranzano.</w:t>
      </w:r>
    </w:p>
    <w:p w14:paraId="7C127EDB" w14:textId="77777777" w:rsidR="00314F73" w:rsidRDefault="00314F73">
      <w:pPr>
        <w:rPr>
          <w:rFonts w:ascii="Gautami" w:eastAsia="Gautami" w:hAnsi="Gautami" w:cs="Gautami"/>
        </w:rPr>
      </w:pPr>
    </w:p>
    <w:p w14:paraId="5D375060" w14:textId="11CC68FE" w:rsidR="00314F73" w:rsidRDefault="009462BD" w:rsidP="009462BD">
      <w:pPr>
        <w:jc w:val="center"/>
        <w:rPr>
          <w:rFonts w:ascii="Gautami" w:eastAsia="Gautami" w:hAnsi="Gautami" w:cs="Gautami"/>
          <w:b/>
        </w:rPr>
      </w:pPr>
      <w:r>
        <w:rPr>
          <w:rFonts w:ascii="Gautami" w:eastAsia="Gautami" w:hAnsi="Gautami" w:cs="Gautami"/>
          <w:b/>
        </w:rPr>
        <w:t>Quota di partecipazione € 12</w:t>
      </w:r>
      <w:r w:rsidR="00076ADA">
        <w:rPr>
          <w:rFonts w:ascii="Gautami" w:eastAsia="Gautami" w:hAnsi="Gautami" w:cs="Gautami"/>
          <w:b/>
        </w:rPr>
        <w:t>5</w:t>
      </w:r>
      <w:r>
        <w:rPr>
          <w:rFonts w:ascii="Gautami" w:eastAsia="Gautami" w:hAnsi="Gautami" w:cs="Gautami"/>
          <w:b/>
        </w:rPr>
        <w:t>,00 – min 20 partecipanti</w:t>
      </w:r>
    </w:p>
    <w:p w14:paraId="2E1361FF" w14:textId="77777777" w:rsidR="00314F73" w:rsidRDefault="009462BD">
      <w:pPr>
        <w:jc w:val="both"/>
        <w:rPr>
          <w:rFonts w:ascii="Gautami" w:eastAsia="Gautami" w:hAnsi="Gautami" w:cs="Gautami"/>
          <w:b/>
        </w:rPr>
      </w:pPr>
      <w:r>
        <w:rPr>
          <w:rFonts w:ascii="Gautami" w:eastAsia="Gautami" w:hAnsi="Gautami" w:cs="Gautami"/>
          <w:b/>
        </w:rPr>
        <w:t>La quota include:</w:t>
      </w:r>
    </w:p>
    <w:p w14:paraId="38A3356D" w14:textId="77777777" w:rsidR="00314F73" w:rsidRDefault="009462BD">
      <w:pPr>
        <w:numPr>
          <w:ilvl w:val="0"/>
          <w:numId w:val="1"/>
        </w:numPr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Pullman da Staranzano a/r</w:t>
      </w:r>
    </w:p>
    <w:p w14:paraId="68455C81" w14:textId="0EE655F9" w:rsidR="00314F73" w:rsidRDefault="009462BD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 xml:space="preserve">Visita guidata della </w:t>
      </w:r>
      <w:proofErr w:type="spellStart"/>
      <w:r>
        <w:rPr>
          <w:rFonts w:ascii="Gautami" w:eastAsia="Gautami" w:hAnsi="Gautami" w:cs="Gautami"/>
        </w:rPr>
        <w:t>citta'</w:t>
      </w:r>
      <w:proofErr w:type="spellEnd"/>
      <w:r>
        <w:rPr>
          <w:rFonts w:ascii="Gautami" w:eastAsia="Gautami" w:hAnsi="Gautami" w:cs="Gautami"/>
        </w:rPr>
        <w:t xml:space="preserve"> con auricolari inclusi;</w:t>
      </w:r>
    </w:p>
    <w:p w14:paraId="47FAACC3" w14:textId="77777777" w:rsidR="00314F73" w:rsidRDefault="009462BD">
      <w:pPr>
        <w:numPr>
          <w:ilvl w:val="0"/>
          <w:numId w:val="1"/>
        </w:numPr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 xml:space="preserve">Pranzo presso ristorante riservato </w:t>
      </w:r>
    </w:p>
    <w:p w14:paraId="76C27DE4" w14:textId="357CDA38" w:rsidR="00314F73" w:rsidRDefault="009462BD">
      <w:pPr>
        <w:numPr>
          <w:ilvl w:val="0"/>
          <w:numId w:val="1"/>
        </w:numPr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Ingressi ai monumenti inclusi</w:t>
      </w:r>
    </w:p>
    <w:p w14:paraId="1E6497DB" w14:textId="77777777" w:rsidR="00314F73" w:rsidRDefault="009462BD">
      <w:pPr>
        <w:numPr>
          <w:ilvl w:val="0"/>
          <w:numId w:val="1"/>
        </w:numPr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lastRenderedPageBreak/>
        <w:t>Assicurazione medico bagaglio NOBIS</w:t>
      </w:r>
    </w:p>
    <w:p w14:paraId="14226223" w14:textId="77777777" w:rsidR="00314F73" w:rsidRDefault="009462BD">
      <w:pPr>
        <w:numPr>
          <w:ilvl w:val="0"/>
          <w:numId w:val="1"/>
        </w:numPr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Accompagnatore Hub Viaggi</w:t>
      </w:r>
    </w:p>
    <w:p w14:paraId="061B8753" w14:textId="77777777" w:rsidR="00314F73" w:rsidRDefault="009462BD">
      <w:pPr>
        <w:spacing w:line="240" w:lineRule="auto"/>
        <w:jc w:val="both"/>
        <w:rPr>
          <w:rFonts w:ascii="Gautami" w:eastAsia="Gautami" w:hAnsi="Gautami" w:cs="Gautami"/>
          <w:b/>
        </w:rPr>
      </w:pPr>
      <w:r>
        <w:rPr>
          <w:rFonts w:ascii="Gautami" w:eastAsia="Gautami" w:hAnsi="Gautami" w:cs="Gautami"/>
          <w:b/>
        </w:rPr>
        <w:t>La quota non include:</w:t>
      </w:r>
    </w:p>
    <w:p w14:paraId="69232DE0" w14:textId="77777777" w:rsidR="00314F73" w:rsidRDefault="009462BD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Spese personali</w:t>
      </w:r>
    </w:p>
    <w:p w14:paraId="05A3E975" w14:textId="54EF110D" w:rsidR="00314F73" w:rsidRDefault="009462BD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Gautami" w:eastAsia="Gautami" w:hAnsi="Gautami" w:cs="Gautami"/>
        </w:rPr>
      </w:pPr>
      <w:r>
        <w:rPr>
          <w:rFonts w:ascii="Gautami" w:eastAsia="Gautami" w:hAnsi="Gautami" w:cs="Gautami"/>
        </w:rPr>
        <w:t>Tutto quanto non espressamente indicato nella “la quota include”</w:t>
      </w:r>
    </w:p>
    <w:p w14:paraId="7C3FE360" w14:textId="77777777" w:rsidR="00314F73" w:rsidRDefault="00314F73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3A02CAB8" w14:textId="77777777" w:rsidR="00314F73" w:rsidRDefault="00314F73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1827BD9A" w14:textId="77777777" w:rsidR="00314F73" w:rsidRDefault="009462BD">
      <w:pPr>
        <w:spacing w:line="240" w:lineRule="auto"/>
        <w:ind w:left="2124" w:firstLine="708"/>
        <w:jc w:val="both"/>
        <w:rPr>
          <w:rFonts w:ascii="Calibri" w:eastAsia="Calibri" w:hAnsi="Calibri" w:cs="Calibri"/>
          <w:b/>
          <w:sz w:val="20"/>
        </w:rPr>
      </w:pPr>
      <w:proofErr w:type="spellStart"/>
      <w:r>
        <w:rPr>
          <w:rFonts w:ascii="Calibri" w:eastAsia="Calibri" w:hAnsi="Calibri" w:cs="Calibri"/>
          <w:b/>
          <w:sz w:val="20"/>
        </w:rPr>
        <w:t>Org</w:t>
      </w:r>
      <w:proofErr w:type="spellEnd"/>
      <w:r>
        <w:rPr>
          <w:rFonts w:ascii="Calibri" w:eastAsia="Calibri" w:hAnsi="Calibri" w:cs="Calibri"/>
          <w:b/>
          <w:sz w:val="20"/>
        </w:rPr>
        <w:t xml:space="preserve">. </w:t>
      </w:r>
      <w:proofErr w:type="gramStart"/>
      <w:r>
        <w:rPr>
          <w:rFonts w:ascii="Calibri" w:eastAsia="Calibri" w:hAnsi="Calibri" w:cs="Calibri"/>
          <w:b/>
          <w:sz w:val="20"/>
        </w:rPr>
        <w:t>Tecnica:  Hub</w:t>
      </w:r>
      <w:proofErr w:type="gramEnd"/>
      <w:r>
        <w:rPr>
          <w:rFonts w:ascii="Calibri" w:eastAsia="Calibri" w:hAnsi="Calibri" w:cs="Calibri"/>
          <w:b/>
          <w:sz w:val="20"/>
        </w:rPr>
        <w:t xml:space="preserve"> Viaggi di Marco </w:t>
      </w:r>
      <w:proofErr w:type="spellStart"/>
      <w:r>
        <w:rPr>
          <w:rFonts w:ascii="Calibri" w:eastAsia="Calibri" w:hAnsi="Calibri" w:cs="Calibri"/>
          <w:b/>
          <w:sz w:val="20"/>
        </w:rPr>
        <w:t>Godea</w:t>
      </w:r>
      <w:proofErr w:type="spellEnd"/>
    </w:p>
    <w:p w14:paraId="47A17EBB" w14:textId="77777777" w:rsidR="00314F73" w:rsidRDefault="009462BD">
      <w:pPr>
        <w:spacing w:after="0" w:line="240" w:lineRule="auto"/>
        <w:jc w:val="center"/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b/>
          <w:sz w:val="20"/>
        </w:rPr>
        <w:t xml:space="preserve">Programma conforme al </w:t>
      </w:r>
      <w:proofErr w:type="spellStart"/>
      <w:r>
        <w:rPr>
          <w:rFonts w:ascii="Calibri" w:eastAsia="Calibri" w:hAnsi="Calibri" w:cs="Calibri"/>
          <w:b/>
          <w:sz w:val="20"/>
        </w:rPr>
        <w:t>D.Lgs.</w:t>
      </w:r>
      <w:proofErr w:type="spellEnd"/>
      <w:r>
        <w:rPr>
          <w:rFonts w:ascii="Calibri" w:eastAsia="Calibri" w:hAnsi="Calibri" w:cs="Calibri"/>
          <w:b/>
          <w:sz w:val="20"/>
        </w:rPr>
        <w:t xml:space="preserve"> 79 del </w:t>
      </w:r>
      <w:proofErr w:type="gramStart"/>
      <w:r>
        <w:rPr>
          <w:rFonts w:ascii="Calibri" w:eastAsia="Calibri" w:hAnsi="Calibri" w:cs="Calibri"/>
          <w:b/>
          <w:sz w:val="20"/>
        </w:rPr>
        <w:t>23.05.2011</w:t>
      </w:r>
      <w:r>
        <w:rPr>
          <w:rFonts w:ascii="Arial" w:eastAsia="Arial" w:hAnsi="Arial" w:cs="Arial"/>
          <w:b/>
          <w:sz w:val="20"/>
        </w:rPr>
        <w:t xml:space="preserve"> .</w:t>
      </w:r>
      <w:proofErr w:type="gramEnd"/>
    </w:p>
    <w:sectPr w:rsidR="00314F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V Boli">
    <w:altName w:val="Noto Sans Thaana"/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5A094D"/>
    <w:multiLevelType w:val="multilevel"/>
    <w:tmpl w:val="0D68A7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955696B"/>
    <w:multiLevelType w:val="multilevel"/>
    <w:tmpl w:val="FB06E1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73"/>
    <w:rsid w:val="00076ADA"/>
    <w:rsid w:val="00314F73"/>
    <w:rsid w:val="0050582C"/>
    <w:rsid w:val="009462BD"/>
    <w:rsid w:val="00A1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CA471"/>
  <w15:docId w15:val="{DDA450A1-6908-4D13-A891-E2DA1F9BB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416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Microsoft Office User</cp:lastModifiedBy>
  <cp:revision>4</cp:revision>
  <dcterms:created xsi:type="dcterms:W3CDTF">2021-07-12T14:44:00Z</dcterms:created>
  <dcterms:modified xsi:type="dcterms:W3CDTF">2021-07-29T10:01:00Z</dcterms:modified>
</cp:coreProperties>
</file>